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Commercial records (handelsplaten)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Evelien Wolda &amp; Harry van Biessum (Netherlands Institute for Sound and Vision)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 collection of 78rpm (classical music) records meant for commercial release. The records are (being) digitized to WAV and MP3. They are currently being transferred to our catalogue system iMMix.</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objects are documented in a hierarchy of three levels. These levels are Werk (1), Realisatie (2), Expressie (3). The level Werk describes the intellectual and artistic concept (or the idea) that forms the basis of one or more Realisations (2th level), you could also call this the ‘Uniform Title’ (the title that always can be applied to the same concept). The level Realisatie is the further elaboration of the concept as described in level Werk, it will always contain some overall information that will be valid for all the different episodes. The Expressie level is about the actual production of the Realisatie (the actual performance of the piece), in this case the different ‘nummers’ (‘songs’) on both sides (A and B) of the record (in the metadata field ‘Positie’ (Position) the actual side of the record is described).</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5">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NISV_Commercial_records_overview.xlsx</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NISV_Commercial_records_Balletmuziek uit Faust.html</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NISV_Commercial_records_Te Voyo Benn.html</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NISV_Commercial_records_Cry.html</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NISV_Commercial_records_De Kleine Harmonicaspeler.html</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HTML, but we can deliver the XML as well if that’s necessary (please let me know).</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rtl w:val="0"/>
              </w:rPr>
              <w:t xml:space="preserve">At the moment our commercial records (handelsplaten collectie) are being added to our digital database (iMMix). That’s why for example the field ‘Oorspronkelijk Artistiek Maker’ (original artistic creator) is added.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List of metadata elements: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Werk (object):</w:t>
            </w:r>
          </w:p>
          <w:p w:rsidP="00000000" w:rsidRPr="00000000" w:rsidR="00000000" w:rsidDel="00000000" w:rsidRDefault="00000000">
            <w:pPr>
              <w:spacing w:lineRule="auto" w:line="240"/>
              <w:contextualSpacing w:val="0"/>
            </w:pPr>
            <w:r w:rsidRPr="00000000" w:rsidR="00000000" w:rsidDel="00000000">
              <w:rPr>
                <w:rtl w:val="0"/>
              </w:rPr>
              <w:t xml:space="preserve">- Titel (title)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Realisatie (realisation):</w:t>
            </w:r>
          </w:p>
          <w:p w:rsidP="00000000" w:rsidRPr="00000000" w:rsidR="00000000" w:rsidDel="00000000" w:rsidRDefault="00000000">
            <w:pPr>
              <w:spacing w:lineRule="auto" w:line="240"/>
              <w:contextualSpacing w:val="0"/>
            </w:pPr>
            <w:r w:rsidRPr="00000000" w:rsidR="00000000" w:rsidDel="00000000">
              <w:rPr>
                <w:rtl w:val="0"/>
              </w:rPr>
              <w:t xml:space="preserve">- Deelcatalogus (catalogue part)</w:t>
            </w:r>
          </w:p>
          <w:p w:rsidP="00000000" w:rsidRPr="00000000" w:rsidR="00000000" w:rsidDel="00000000" w:rsidRDefault="00000000">
            <w:pPr>
              <w:spacing w:lineRule="auto" w:line="240"/>
              <w:contextualSpacing w:val="0"/>
            </w:pPr>
            <w:r w:rsidRPr="00000000" w:rsidR="00000000" w:rsidDel="00000000">
              <w:rPr>
                <w:rtl w:val="0"/>
              </w:rPr>
              <w:t xml:space="preserve">- Beoogd medium (the supposed medium)</w:t>
            </w:r>
          </w:p>
          <w:p w:rsidP="00000000" w:rsidRPr="00000000" w:rsidR="00000000" w:rsidDel="00000000" w:rsidRDefault="00000000">
            <w:pPr>
              <w:spacing w:lineRule="auto" w:line="240"/>
              <w:contextualSpacing w:val="0"/>
            </w:pPr>
            <w:r w:rsidRPr="00000000" w:rsidR="00000000" w:rsidDel="00000000">
              <w:rPr>
                <w:rtl w:val="0"/>
              </w:rPr>
              <w:t xml:space="preserve">- Titel (title)</w:t>
            </w:r>
          </w:p>
          <w:p w:rsidP="00000000" w:rsidRPr="00000000" w:rsidR="00000000" w:rsidDel="00000000" w:rsidRDefault="00000000">
            <w:pPr>
              <w:spacing w:lineRule="auto" w:line="240"/>
              <w:contextualSpacing w:val="0"/>
            </w:pPr>
            <w:r w:rsidRPr="00000000" w:rsidR="00000000" w:rsidDel="00000000">
              <w:rPr>
                <w:rtl w:val="0"/>
              </w:rPr>
              <w:t xml:space="preserve">- Genre (genre)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Expressie (expression):</w:t>
            </w:r>
          </w:p>
          <w:p w:rsidP="00000000" w:rsidRPr="00000000" w:rsidR="00000000" w:rsidDel="00000000" w:rsidRDefault="00000000">
            <w:pPr>
              <w:spacing w:lineRule="auto" w:line="240"/>
              <w:contextualSpacing w:val="0"/>
            </w:pPr>
            <w:r w:rsidRPr="00000000" w:rsidR="00000000" w:rsidDel="00000000">
              <w:rPr>
                <w:rtl w:val="0"/>
              </w:rPr>
              <w:t xml:space="preserve">- Broncatalogus (source catalogue)</w:t>
            </w:r>
          </w:p>
          <w:p w:rsidP="00000000" w:rsidRPr="00000000" w:rsidR="00000000" w:rsidDel="00000000" w:rsidRDefault="00000000">
            <w:pPr>
              <w:spacing w:lineRule="auto" w:line="240"/>
              <w:contextualSpacing w:val="0"/>
            </w:pPr>
            <w:r w:rsidRPr="00000000" w:rsidR="00000000" w:rsidDel="00000000">
              <w:rPr>
                <w:rtl w:val="0"/>
              </w:rPr>
              <w:t xml:space="preserve">- BronID (source ID)</w:t>
            </w:r>
          </w:p>
          <w:p w:rsidP="00000000" w:rsidRPr="00000000" w:rsidR="00000000" w:rsidDel="00000000" w:rsidRDefault="00000000">
            <w:pPr>
              <w:spacing w:lineRule="auto" w:line="240"/>
              <w:contextualSpacing w:val="0"/>
            </w:pPr>
            <w:r w:rsidRPr="00000000" w:rsidR="00000000" w:rsidDel="00000000">
              <w:rPr>
                <w:rtl w:val="0"/>
              </w:rPr>
              <w:t xml:space="preserve">- Titel (title)</w:t>
            </w:r>
          </w:p>
          <w:p w:rsidP="00000000" w:rsidRPr="00000000" w:rsidR="00000000" w:rsidDel="00000000" w:rsidRDefault="00000000">
            <w:pPr>
              <w:spacing w:lineRule="auto" w:line="240"/>
              <w:contextualSpacing w:val="0"/>
            </w:pPr>
            <w:r w:rsidRPr="00000000" w:rsidR="00000000" w:rsidDel="00000000">
              <w:rPr>
                <w:rtl w:val="0"/>
              </w:rPr>
              <w:t xml:space="preserve">- Uitvoerende </w:t>
            </w:r>
          </w:p>
          <w:p w:rsidP="00000000" w:rsidRPr="00000000" w:rsidR="00000000" w:rsidDel="00000000" w:rsidRDefault="00000000">
            <w:pPr>
              <w:spacing w:lineRule="auto" w:line="240"/>
              <w:contextualSpacing w:val="0"/>
            </w:pPr>
            <w:r w:rsidRPr="00000000" w:rsidR="00000000" w:rsidDel="00000000">
              <w:rPr>
                <w:rtl w:val="0"/>
              </w:rPr>
              <w:t xml:space="preserve">- Muziekstijl (music genre)</w:t>
            </w:r>
          </w:p>
          <w:p w:rsidP="00000000" w:rsidRPr="00000000" w:rsidR="00000000" w:rsidDel="00000000" w:rsidRDefault="00000000">
            <w:pPr>
              <w:spacing w:lineRule="auto" w:line="240"/>
              <w:contextualSpacing w:val="0"/>
            </w:pPr>
            <w:r w:rsidRPr="00000000" w:rsidR="00000000" w:rsidDel="00000000">
              <w:rPr>
                <w:rtl w:val="0"/>
              </w:rPr>
              <w:t xml:space="preserve">- Samenvatting (summary)</w:t>
            </w:r>
          </w:p>
          <w:p w:rsidP="00000000" w:rsidRPr="00000000" w:rsidR="00000000" w:rsidDel="00000000" w:rsidRDefault="00000000">
            <w:pPr>
              <w:spacing w:lineRule="auto" w:line="240"/>
              <w:contextualSpacing w:val="0"/>
            </w:pPr>
            <w:r w:rsidRPr="00000000" w:rsidR="00000000" w:rsidDel="00000000">
              <w:rPr>
                <w:rtl w:val="0"/>
              </w:rPr>
              <w:t xml:space="preserve">- Annotatie (annotation)</w:t>
            </w:r>
          </w:p>
          <w:p w:rsidP="00000000" w:rsidRPr="00000000" w:rsidR="00000000" w:rsidDel="00000000" w:rsidRDefault="00000000">
            <w:pPr>
              <w:spacing w:lineRule="auto" w:line="240"/>
              <w:contextualSpacing w:val="0"/>
            </w:pPr>
            <w:r w:rsidRPr="00000000" w:rsidR="00000000" w:rsidDel="00000000">
              <w:rPr>
                <w:rtl w:val="0"/>
              </w:rPr>
              <w:t xml:space="preserve">- Publicatie (publication)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Nummer (song):</w:t>
            </w:r>
          </w:p>
          <w:p w:rsidP="00000000" w:rsidRPr="00000000" w:rsidR="00000000" w:rsidDel="00000000" w:rsidRDefault="00000000">
            <w:pPr>
              <w:spacing w:lineRule="auto" w:line="240"/>
              <w:contextualSpacing w:val="0"/>
            </w:pPr>
            <w:r w:rsidRPr="00000000" w:rsidR="00000000" w:rsidDel="00000000">
              <w:rPr>
                <w:rtl w:val="0"/>
              </w:rPr>
              <w:t xml:space="preserve">- Selectie type (selection type)</w:t>
            </w:r>
          </w:p>
          <w:p w:rsidP="00000000" w:rsidRPr="00000000" w:rsidR="00000000" w:rsidDel="00000000" w:rsidRDefault="00000000">
            <w:pPr>
              <w:spacing w:lineRule="auto" w:line="240"/>
              <w:contextualSpacing w:val="0"/>
            </w:pPr>
            <w:r w:rsidRPr="00000000" w:rsidR="00000000" w:rsidDel="00000000">
              <w:rPr>
                <w:rtl w:val="0"/>
              </w:rPr>
              <w:t xml:space="preserve">- Titel (title)</w:t>
            </w:r>
          </w:p>
          <w:p w:rsidP="00000000" w:rsidRPr="00000000" w:rsidR="00000000" w:rsidDel="00000000" w:rsidRDefault="00000000">
            <w:pPr>
              <w:spacing w:lineRule="auto" w:line="240"/>
              <w:contextualSpacing w:val="0"/>
            </w:pPr>
            <w:r w:rsidRPr="00000000" w:rsidR="00000000" w:rsidDel="00000000">
              <w:rPr>
                <w:rtl w:val="0"/>
              </w:rPr>
              <w:t xml:space="preserve">- Overige titels (other titles)</w:t>
            </w:r>
          </w:p>
          <w:p w:rsidP="00000000" w:rsidRPr="00000000" w:rsidR="00000000" w:rsidDel="00000000" w:rsidRDefault="00000000">
            <w:pPr>
              <w:spacing w:lineRule="auto" w:line="240"/>
              <w:contextualSpacing w:val="0"/>
            </w:pPr>
            <w:r w:rsidRPr="00000000" w:rsidR="00000000" w:rsidDel="00000000">
              <w:rPr>
                <w:rtl w:val="0"/>
              </w:rPr>
              <w:t xml:space="preserve">- Oorspronkelijk Artistiek Maker (original artistic creator)</w:t>
            </w:r>
          </w:p>
          <w:p w:rsidP="00000000" w:rsidRPr="00000000" w:rsidR="00000000" w:rsidDel="00000000" w:rsidRDefault="00000000">
            <w:pPr>
              <w:spacing w:lineRule="auto" w:line="240"/>
              <w:contextualSpacing w:val="0"/>
            </w:pPr>
            <w:r w:rsidRPr="00000000" w:rsidR="00000000" w:rsidDel="00000000">
              <w:rPr>
                <w:rtl w:val="0"/>
              </w:rPr>
              <w:t xml:space="preserve">- Uitvoerende </w:t>
            </w:r>
          </w:p>
          <w:p w:rsidP="00000000" w:rsidRPr="00000000" w:rsidR="00000000" w:rsidDel="00000000" w:rsidRDefault="00000000">
            <w:pPr>
              <w:spacing w:lineRule="auto" w:line="240"/>
              <w:contextualSpacing w:val="0"/>
            </w:pPr>
            <w:r w:rsidRPr="00000000" w:rsidR="00000000" w:rsidDel="00000000">
              <w:rPr>
                <w:rtl w:val="0"/>
              </w:rPr>
              <w:t xml:space="preserve">- Beschrijving (description)</w:t>
            </w:r>
          </w:p>
          <w:p w:rsidP="00000000" w:rsidRPr="00000000" w:rsidR="00000000" w:rsidDel="00000000" w:rsidRDefault="00000000">
            <w:pPr>
              <w:spacing w:lineRule="auto" w:line="240"/>
              <w:contextualSpacing w:val="0"/>
            </w:pPr>
            <w:r w:rsidRPr="00000000" w:rsidR="00000000" w:rsidDel="00000000">
              <w:rPr>
                <w:rtl w:val="0"/>
              </w:rPr>
              <w:t xml:space="preserve">- Positie (position)</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 (e.g.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Yes, we use the GTAA (Gemeenschappelijke Thesaurus Audiovisuele Archieven – Common Thesaurus Audiovisual Archives). </w:t>
            </w:r>
            <w:hyperlink r:id="rId6">
              <w:r w:rsidRPr="00000000" w:rsidR="00000000" w:rsidDel="00000000">
                <w:rPr>
                  <w:color w:val="0000ff"/>
                  <w:u w:val="single"/>
                  <w:rtl w:val="0"/>
                </w:rPr>
                <w:t xml:space="preserve">http://gtaa.beeldengeluid.nl/</w:t>
              </w:r>
            </w:hyperlink>
            <w:r w:rsidRPr="00000000" w:rsidR="00000000" w:rsidDel="00000000">
              <w:rPr>
                <w:rtl w:val="0"/>
              </w:rPr>
              <w:t xml:space="preserve"> (in Dutch).</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GTAA provides:</w:t>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onderwerpen (subjects)</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genres</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persoonsnamen (names of persons)</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makers</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geografische namen (geographical names)</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overige eigennamen (other proper nouns)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At the moment music genres are being added to the GTAA as well.</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Dutch</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7">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GTAA is available in SKOS (</w:t>
            </w:r>
            <w:hyperlink r:id="rId8">
              <w:r w:rsidRPr="00000000" w:rsidR="00000000" w:rsidDel="00000000">
                <w:rPr>
                  <w:color w:val="0000ff"/>
                  <w:u w:val="single"/>
                  <w:rtl w:val="0"/>
                </w:rPr>
                <w:t xml:space="preserve">http://gtaa.beeldengeluid.nl</w:t>
              </w:r>
            </w:hyperlink>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Names of the examples:</w:t>
            </w:r>
          </w:p>
          <w:p w:rsidP="00000000" w:rsidRPr="00000000" w:rsidR="00000000" w:rsidDel="00000000" w:rsidRDefault="00000000">
            <w:pPr>
              <w:spacing w:lineRule="auto" w:line="240"/>
              <w:contextualSpacing w:val="0"/>
            </w:pPr>
            <w:r w:rsidRPr="00000000" w:rsidR="00000000" w:rsidDel="00000000">
              <w:rPr>
                <w:rtl w:val="0"/>
              </w:rPr>
              <w:t xml:space="preserve">- NISV_thesaurus_example.pdf</w:t>
            </w:r>
          </w:p>
          <w:p w:rsidP="00000000" w:rsidRPr="00000000" w:rsidR="00000000" w:rsidDel="00000000" w:rsidRDefault="00000000">
            <w:pPr>
              <w:spacing w:lineRule="auto" w:line="240"/>
              <w:contextualSpacing w:val="0"/>
            </w:pPr>
            <w:r w:rsidRPr="00000000" w:rsidR="00000000" w:rsidDel="00000000">
              <w:rPr>
                <w:rtl w:val="0"/>
              </w:rPr>
              <w:t xml:space="preserve">- NISV_thesaurus_example_rdf.pdf</w:t>
            </w:r>
          </w:p>
          <w:p w:rsidP="00000000" w:rsidRPr="00000000" w:rsidR="00000000" w:rsidDel="00000000" w:rsidRDefault="00000000">
            <w:pPr>
              <w:spacing w:lineRule="auto" w:line="240"/>
              <w:contextualSpacing w:val="0"/>
            </w:pPr>
            <w:r w:rsidRPr="00000000" w:rsidR="00000000" w:rsidDel="00000000">
              <w:rPr>
                <w:rtl w:val="0"/>
              </w:rPr>
              <w:t xml:space="preserve">- NISV_thesaurus_example_json.pdf</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headerReference r:id="rId9" w:type="default"/>
      <w:footerReference r:id="rId10"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b w:val="0"/>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1"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2"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1"/>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footer1.xml" Type="http://schemas.openxmlformats.org/officeDocument/2006/relationships/footer" Id="rId10"/><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9"/><Relationship Target="http://gtaa.beeldengeluid.nl/" Type="http://schemas.openxmlformats.org/officeDocument/2006/relationships/hyperlink" TargetMode="External" Id="rId6"/><Relationship Target="https://drive.google.com/folderview?id=0B4N3jJ2PToabWU1scDVFZGVKVEU&amp;usp=sharing" Type="http://schemas.openxmlformats.org/officeDocument/2006/relationships/hyperlink" TargetMode="External" Id="rId5"/><Relationship Target="http://gtaa.beeldengeluid.nl" Type="http://schemas.openxmlformats.org/officeDocument/2006/relationships/hyperlink" TargetMode="External" Id="rId8"/><Relationship Target="https://drive.google.com/folderview?id=0B4N3jJ2PToabWU1scDVFZGVKVEU&amp;usp=sharing"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EDMSounds_UseCaseTemplate_NISV_Commercial Records.docx</dc:title>
</cp:coreProperties>
</file>